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728F2" w14:textId="4D1A9FB6" w:rsidR="001C0F4D" w:rsidRPr="00666EC2" w:rsidRDefault="001C0F4D">
      <w:pPr>
        <w:rPr>
          <w:rFonts w:asciiTheme="minorHAnsi" w:hAnsiTheme="minorHAnsi" w:cstheme="minorHAnsi"/>
          <w:sz w:val="22"/>
          <w:szCs w:val="22"/>
        </w:rPr>
      </w:pPr>
    </w:p>
    <w:p w14:paraId="78E3A6B6" w14:textId="77777777" w:rsidR="001C0F4D" w:rsidRPr="00666EC2" w:rsidRDefault="001C0F4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13750"/>
      </w:tblGrid>
      <w:tr w:rsidR="00F376BE" w:rsidRPr="00666EC2" w14:paraId="7B410158" w14:textId="77777777" w:rsidTr="00F376BE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14:paraId="28D4F37B" w14:textId="116DDEB0" w:rsidR="00F376BE" w:rsidRPr="00666EC2" w:rsidRDefault="00F376BE" w:rsidP="00F376BE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Kickstart Scheme </w:t>
            </w: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job</w:t>
            </w:r>
            <w:r w:rsidR="001C0F4D"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template</w:t>
            </w:r>
          </w:p>
          <w:p w14:paraId="0FDCB9AF" w14:textId="77777777" w:rsidR="00F376BE" w:rsidRPr="00666EC2" w:rsidRDefault="00F376BE" w:rsidP="00F37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9E14C" w14:textId="77777777" w:rsidR="00F376BE" w:rsidRPr="00666EC2" w:rsidRDefault="00F376BE" w:rsidP="00F37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E26FF" w14:textId="77777777" w:rsidR="00F376BE" w:rsidRPr="00666EC2" w:rsidRDefault="00F376BE" w:rsidP="00F376B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Completing the template</w:t>
            </w:r>
          </w:p>
          <w:p w14:paraId="6C0ACC57" w14:textId="77777777" w:rsidR="00F376BE" w:rsidRPr="00666EC2" w:rsidRDefault="00F376BE" w:rsidP="00F37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E1F49" w14:textId="7C2122B5" w:rsidR="00F376BE" w:rsidRPr="00666EC2" w:rsidRDefault="00F376BE" w:rsidP="00F376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You may need to save several versions of this blank template, depending on how many 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roles you are submitting.</w:t>
            </w:r>
          </w:p>
          <w:p w14:paraId="1E3D6940" w14:textId="34FB7A84" w:rsidR="00B46F20" w:rsidRPr="00666EC2" w:rsidRDefault="00B46F20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E97F19F" w14:textId="5B149F0A" w:rsidR="00B46F20" w:rsidRPr="00666EC2" w:rsidRDefault="00B46F20" w:rsidP="00F376B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You must only submit job templates for the number of roles specified in your Grant Offer Letter.</w:t>
            </w:r>
          </w:p>
          <w:p w14:paraId="5113331F" w14:textId="77777777" w:rsidR="00F376BE" w:rsidRPr="00666EC2" w:rsidRDefault="00F376BE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9D12FC" w14:textId="77777777" w:rsidR="00F376BE" w:rsidRPr="00666EC2" w:rsidRDefault="00F376BE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template must be completed for each job you are offering.  For example, if you are offering 30 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jobs</w:t>
            </w: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split across two roles – a clerical assistant and a retail assistant - you need to complete two templates. </w:t>
            </w:r>
          </w:p>
          <w:p w14:paraId="6CEE4EDF" w14:textId="77777777" w:rsidR="00F376BE" w:rsidRPr="00666EC2" w:rsidRDefault="00F376BE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006BDB" w14:textId="13A089B9" w:rsidR="00E27630" w:rsidRPr="00666EC2" w:rsidRDefault="00E27630" w:rsidP="00E27630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You must complete the template at the end of this form. If your jobs are in more than one location, use a row for each</w:t>
            </w:r>
            <w:r w:rsidRPr="00666EC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 </w:t>
            </w:r>
          </w:p>
          <w:p w14:paraId="3CDFEFD4" w14:textId="77777777" w:rsidR="00E27630" w:rsidRPr="00666EC2" w:rsidRDefault="00E27630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D54AE7C" w14:textId="6F1CBF33" w:rsidR="00F376BE" w:rsidRPr="00666EC2" w:rsidRDefault="00F376BE" w:rsidP="00F376B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Please do not use acronyms when completing this document. </w:t>
            </w:r>
          </w:p>
          <w:p w14:paraId="395B365B" w14:textId="77777777" w:rsidR="00F376BE" w:rsidRPr="00666EC2" w:rsidRDefault="00F376BE" w:rsidP="00F376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7A70BA" w14:textId="77777777" w:rsidR="00AB11B6" w:rsidRPr="00666EC2" w:rsidRDefault="00AB11B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82"/>
        <w:gridCol w:w="5528"/>
      </w:tblGrid>
      <w:tr w:rsidR="00AB11B6" w:rsidRPr="00666EC2" w14:paraId="7241D601" w14:textId="77777777" w:rsidTr="00AB11B6">
        <w:tc>
          <w:tcPr>
            <w:tcW w:w="5382" w:type="dxa"/>
          </w:tcPr>
          <w:p w14:paraId="61437672" w14:textId="77777777" w:rsidR="00AB11B6" w:rsidRPr="00666EC2" w:rsidRDefault="00AB11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Kickstart Scheme Application ID</w:t>
            </w: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br/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(10 characters beginning with KS)</w:t>
            </w:r>
          </w:p>
        </w:tc>
        <w:tc>
          <w:tcPr>
            <w:tcW w:w="5528" w:type="dxa"/>
          </w:tcPr>
          <w:p w14:paraId="1EC7CE4B" w14:textId="66670ECA" w:rsidR="00AB11B6" w:rsidRPr="00666EC2" w:rsidRDefault="00AB11B6" w:rsidP="00EC2F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B49BB" w:rsidRPr="00666EC2" w14:paraId="0C074E53" w14:textId="77777777" w:rsidTr="00AB11B6">
        <w:tc>
          <w:tcPr>
            <w:tcW w:w="5382" w:type="dxa"/>
          </w:tcPr>
          <w:p w14:paraId="62BBDE7F" w14:textId="77777777" w:rsidR="00DB49BB" w:rsidRPr="00666EC2" w:rsidRDefault="00DB49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Job vacancy title</w:t>
            </w:r>
          </w:p>
        </w:tc>
        <w:tc>
          <w:tcPr>
            <w:tcW w:w="5528" w:type="dxa"/>
          </w:tcPr>
          <w:p w14:paraId="5C538AF9" w14:textId="7F5FD513" w:rsidR="00DB49BB" w:rsidRPr="00666EC2" w:rsidRDefault="00EC2F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Revitalising our Estuaries – Estuary Ranger</w:t>
            </w:r>
          </w:p>
        </w:tc>
      </w:tr>
      <w:tr w:rsidR="00AB11B6" w:rsidRPr="00666EC2" w14:paraId="119D8E90" w14:textId="77777777" w:rsidTr="00AB11B6">
        <w:tc>
          <w:tcPr>
            <w:tcW w:w="5382" w:type="dxa"/>
          </w:tcPr>
          <w:p w14:paraId="0F546DCB" w14:textId="77777777" w:rsidR="00AB11B6" w:rsidRPr="00666EC2" w:rsidRDefault="00AB1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Company name</w:t>
            </w:r>
          </w:p>
        </w:tc>
        <w:tc>
          <w:tcPr>
            <w:tcW w:w="5528" w:type="dxa"/>
          </w:tcPr>
          <w:p w14:paraId="3504BB98" w14:textId="79B42720" w:rsidR="00AB11B6" w:rsidRPr="00666EC2" w:rsidRDefault="00C03C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Groundwork NE &amp; Cumbria </w:t>
            </w:r>
          </w:p>
        </w:tc>
      </w:tr>
      <w:tr w:rsidR="00AB11B6" w:rsidRPr="00666EC2" w14:paraId="75337FD6" w14:textId="77777777" w:rsidTr="00AB11B6">
        <w:tc>
          <w:tcPr>
            <w:tcW w:w="5382" w:type="dxa"/>
          </w:tcPr>
          <w:p w14:paraId="6472E3B5" w14:textId="77777777" w:rsidR="00AB11B6" w:rsidRPr="00666EC2" w:rsidRDefault="00AB11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Company postcode</w:t>
            </w:r>
          </w:p>
        </w:tc>
        <w:tc>
          <w:tcPr>
            <w:tcW w:w="5528" w:type="dxa"/>
          </w:tcPr>
          <w:p w14:paraId="269675D7" w14:textId="01AA76B0" w:rsidR="00AB11B6" w:rsidRPr="00666EC2" w:rsidRDefault="008300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TS13 4PR</w:t>
            </w:r>
          </w:p>
        </w:tc>
      </w:tr>
    </w:tbl>
    <w:p w14:paraId="53BC2090" w14:textId="77777777" w:rsidR="00AB11B6" w:rsidRPr="00666EC2" w:rsidRDefault="00AB11B6">
      <w:pPr>
        <w:rPr>
          <w:rFonts w:asciiTheme="minorHAnsi" w:hAnsiTheme="minorHAnsi" w:cstheme="minorHAnsi"/>
          <w:sz w:val="22"/>
          <w:szCs w:val="22"/>
        </w:rPr>
      </w:pPr>
    </w:p>
    <w:p w14:paraId="0564785F" w14:textId="627C99D9" w:rsidR="00AB11B6" w:rsidRPr="00666EC2" w:rsidRDefault="00F376BE">
      <w:pPr>
        <w:rPr>
          <w:rFonts w:asciiTheme="minorHAnsi" w:hAnsiTheme="minorHAnsi" w:cstheme="minorHAnsi"/>
          <w:sz w:val="22"/>
          <w:szCs w:val="22"/>
        </w:rPr>
      </w:pPr>
      <w:r w:rsidRPr="00666EC2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13750"/>
      </w:tblGrid>
      <w:tr w:rsidR="00DB49BB" w:rsidRPr="00666EC2" w14:paraId="7C44A937" w14:textId="77777777" w:rsidTr="00DB49BB">
        <w:tc>
          <w:tcPr>
            <w:tcW w:w="13750" w:type="dxa"/>
          </w:tcPr>
          <w:p w14:paraId="570E66A5" w14:textId="77777777" w:rsidR="00614DDA" w:rsidRPr="00666EC2" w:rsidRDefault="00DB49BB" w:rsidP="00323A52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Job summar</w:t>
            </w:r>
            <w:r w:rsidR="00614DDA"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  <w:p w14:paraId="6ADE8736" w14:textId="08F5C9FF" w:rsidR="00DB49BB" w:rsidRPr="00666EC2" w:rsidRDefault="00E27630" w:rsidP="00323A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 plain text only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3CFB"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 Do not use, for example,</w:t>
            </w:r>
            <w:r w:rsidR="007674BA"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bullet points or </w:t>
            </w:r>
            <w:r w:rsidR="00783CFB" w:rsidRPr="00666EC2">
              <w:rPr>
                <w:rFonts w:asciiTheme="minorHAnsi" w:hAnsiTheme="minorHAnsi" w:cstheme="minorHAnsi"/>
                <w:sz w:val="22"/>
                <w:szCs w:val="22"/>
              </w:rPr>
              <w:t>tables to lay out this information.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75F621D8" w14:textId="2380A8E2" w:rsidR="00DB49BB" w:rsidRPr="00666EC2" w:rsidRDefault="00614DDA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Summarise</w:t>
            </w:r>
            <w:r w:rsidR="00DB49BB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 job, </w:t>
            </w:r>
            <w:r w:rsidR="000E5640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give an overview of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</w:t>
            </w:r>
            <w:r w:rsidR="00DB49BB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main responsibilities and key activities that the person will be carrying out. </w:t>
            </w:r>
            <w:r w:rsidR="00466014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It is not necessary to give lots of background about your company.</w:t>
            </w:r>
          </w:p>
          <w:p w14:paraId="7E7D45CA" w14:textId="77777777" w:rsidR="00DB49BB" w:rsidRPr="00666EC2" w:rsidRDefault="00DB49BB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the job is homeworking, please specify:</w:t>
            </w:r>
          </w:p>
          <w:p w14:paraId="26EB4CFF" w14:textId="77777777" w:rsidR="00DB49BB" w:rsidRPr="00666EC2" w:rsidRDefault="00DB49BB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F59ACB" w14:textId="77777777" w:rsidR="00DB49BB" w:rsidRPr="00666EC2" w:rsidRDefault="00DB49BB" w:rsidP="00DB49B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if there will be a requirement to attend a work location during the 6 months of employment</w:t>
            </w:r>
          </w:p>
          <w:p w14:paraId="08403484" w14:textId="77777777" w:rsidR="00DB49BB" w:rsidRPr="00666EC2" w:rsidRDefault="00DB49BB" w:rsidP="00DB49B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address and postcode of the locations they will be required to attend </w:t>
            </w:r>
          </w:p>
          <w:p w14:paraId="222B6C78" w14:textId="77777777" w:rsidR="00DB49BB" w:rsidRPr="00666EC2" w:rsidRDefault="00DB49BB" w:rsidP="00DB49B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how often they are expected to attend these locations</w:t>
            </w:r>
          </w:p>
          <w:p w14:paraId="76ECFA21" w14:textId="77777777" w:rsidR="00DB49BB" w:rsidRPr="00666EC2" w:rsidRDefault="00DB49BB" w:rsidP="00323A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49BB" w:rsidRPr="00666EC2" w14:paraId="3B5E90E7" w14:textId="77777777" w:rsidTr="00A97E15">
        <w:tc>
          <w:tcPr>
            <w:tcW w:w="13750" w:type="dxa"/>
          </w:tcPr>
          <w:p w14:paraId="499F9307" w14:textId="77777777" w:rsidR="001F4890" w:rsidRPr="001C086D" w:rsidRDefault="001F4890" w:rsidP="001F48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Groundwork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is an environmental charity with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a mission to mobilise practical community action on poverty and the environment. It is passionate about creating a society made up of vibrant, healthy and sustainable communities that have the resources and resilience to shape their own destiny. This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Marketing Assistant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role will be an important part of delivering this aim.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As part of our regional charity with a £10 million annual turnover, you will help to develop and implement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our new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Revitalising our Estuaries (RoE)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roject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which aims to protect and enhance our North East River Estuaries, fighting climate change and </w:t>
            </w:r>
            <w:r w:rsidRPr="00523D7F">
              <w:rPr>
                <w:rFonts w:asciiTheme="minorHAnsi" w:hAnsiTheme="minorHAnsi" w:cstheme="minorHAnsi"/>
                <w:sz w:val="22"/>
                <w:szCs w:val="22"/>
              </w:rPr>
              <w:t xml:space="preserve">creating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over 40 new jobs.</w:t>
            </w:r>
            <w:r w:rsidRPr="001C08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5ECEAA" w14:textId="43922D51" w:rsidR="00C03879" w:rsidRDefault="00C03879" w:rsidP="00C038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E15BF5" w14:textId="08C06969" w:rsidR="006A2773" w:rsidRDefault="006A2773" w:rsidP="00C0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RoE is an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exciting new programme supported by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National Lottery (and DEFRA/EA) and their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523D7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Green Recovery Challenge Fund</w:t>
              </w:r>
            </w:hyperlink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, a national multi-million pound boost for green jobs and nature recovery.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The project will support nature and economic recovery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6 areas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across the North East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we recover from Covid and to help fight climate change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Project activity will take place from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the Wansbeck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Blyth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Estuaries in Northumberland to the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, Tyne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Wear, Tees and Esk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North Yorkshire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It will deliver impressive, high profile habitat protection and creation schemes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to help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improve and 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save our estuary habitats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the wildlife found there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14:paraId="58989871" w14:textId="77777777" w:rsidR="006A2773" w:rsidRPr="00666EC2" w:rsidRDefault="006A2773" w:rsidP="00C038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  <w:p w14:paraId="7761AD63" w14:textId="0EAFC995" w:rsidR="00C03CCD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post holder will operate in local communities and will be able to communicate positively and effectively with local people providing a professional and high quality servic</w:t>
            </w:r>
            <w:r w:rsidR="00EC2F22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e. Under the direction of the Revitalising our Estuaries Project Coordinator</w:t>
            </w: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they will carry out practical tasks to enable achievement of the work programme ensuring deadlines are met whilst maintaining quality.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8D5056A" w14:textId="441A89D9" w:rsidR="001F4890" w:rsidRDefault="001F4890" w:rsidP="00C03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760C0CE8" w14:textId="77777777" w:rsidR="001F4890" w:rsidRPr="001E209B" w:rsidRDefault="001F4890" w:rsidP="001F48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This role will be part of Groundwork’s unique Kickstart staff developme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nt modules with training around surveying and monitoring skills, impact evaluation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 engagement, c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 xml:space="preserve">arbon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1E209B">
              <w:rPr>
                <w:rFonts w:asciiTheme="minorHAnsi" w:hAnsiTheme="minorHAnsi" w:cstheme="minorHAnsi"/>
                <w:sz w:val="22"/>
                <w:szCs w:val="22"/>
              </w:rPr>
              <w:t>iteracy as well as anything else applicable to your role. This role will include opportunities for the post holder to develop their skills and experience through training/webinars/coaching in any specific areas of interest within Groundwork’s field of work; from Youth, Employment, Skills, to Community Activism, Health &amp; Wellbeing or Landscape Improvement/ Nature Recovery Projects.</w:t>
            </w:r>
          </w:p>
          <w:p w14:paraId="492729AA" w14:textId="77777777" w:rsidR="001F4890" w:rsidRPr="00666EC2" w:rsidRDefault="001F4890" w:rsidP="00C03CC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69BB17EC" w14:textId="77777777" w:rsidR="00EC2F22" w:rsidRPr="00666EC2" w:rsidRDefault="00EC2F22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459B75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Key Area: Implementation of Practical Tasks.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69D84D" w14:textId="0E6B26BE" w:rsidR="00C03CCD" w:rsidRPr="00666EC2" w:rsidRDefault="00C03CCD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3F3A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assist the Estuary Coordinator to </w:t>
            </w: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implement a variety of tasks including environmental improvements, soft landscaping, hort</w:t>
            </w:r>
            <w:r w:rsidR="00C03879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icultural activities and access</w:t>
            </w: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maintenance.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D9C0B77" w14:textId="74BB9D17" w:rsidR="00C03CCD" w:rsidRPr="00666EC2" w:rsidRDefault="003F3AE8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assist the Estuary Coordinator t</w:t>
            </w:r>
            <w:r w:rsidR="00C03CCD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 identify required resources to achieve the agreed work pr</w:t>
            </w:r>
            <w:r w:rsidR="00C03879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ogramme</w:t>
            </w:r>
            <w:r w:rsidR="00C03CCD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 </w:t>
            </w:r>
            <w:r w:rsidR="00C03CCD"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670BA0F" w14:textId="000F7951" w:rsidR="00C03CCD" w:rsidRPr="00666EC2" w:rsidRDefault="00C03CCD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to ensure that quality is maintained at all times.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40B183" w14:textId="227EF477" w:rsidR="00C03CCD" w:rsidRPr="00666EC2" w:rsidRDefault="003F3AE8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 ensure safe use of tools and equipment including t</w:t>
            </w:r>
            <w:r w:rsidR="00C03CCD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he care and maintenan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ce of all tools and equipment vehicle and PPE checks reporting</w:t>
            </w:r>
            <w:r w:rsidR="00C03CCD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issues or replacement needs to the line manager. </w:t>
            </w:r>
            <w:r w:rsidR="00C03CCD"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EE6D264" w14:textId="77777777" w:rsidR="00C03CCD" w:rsidRPr="00666EC2" w:rsidRDefault="00C03CCD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 maintain accurate records including hours of work, job sheets, training undertaken as requested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0A48D15" w14:textId="77777777" w:rsidR="00C03879" w:rsidRPr="00666EC2" w:rsidRDefault="00C03879" w:rsidP="00C03CC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824C6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Key Area: Health &amp; Safety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E97A0AA" w14:textId="77777777" w:rsidR="00C03CCD" w:rsidRPr="00666EC2" w:rsidRDefault="00C03CCD" w:rsidP="00C03CC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Ensure that all work is carried out to conform to the highest levels of health and safety requirements ensuring the safety of the general public and participants.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9FB6058" w14:textId="77777777" w:rsidR="00C03CCD" w:rsidRPr="00666EC2" w:rsidRDefault="00C03CCD" w:rsidP="00C03CC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Carrying out individual PPE Assessments and ensuring conformance before tasks are undertaken.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9E6943" w14:textId="307F5BC0" w:rsidR="00C03879" w:rsidRDefault="003F3AE8" w:rsidP="00C03CC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Contribute to the risk assessment process and ensure good understanding of all hazards and risks identified. </w:t>
            </w:r>
          </w:p>
          <w:p w14:paraId="20EFABBE" w14:textId="77777777" w:rsidR="003F3AE8" w:rsidRPr="00666EC2" w:rsidRDefault="003F3AE8" w:rsidP="00C03CCD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10F71A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Additional responsibilities</w:t>
            </w:r>
            <w:r w:rsidRPr="00666EC2">
              <w:rPr>
                <w:rStyle w:val="eop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</w:p>
          <w:p w14:paraId="1DE4817B" w14:textId="77777777" w:rsidR="00C03CCD" w:rsidRPr="00666EC2" w:rsidRDefault="00C03CCD" w:rsidP="00C03CC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Attend weekly coaching sessions with line manager and maintain a positive approach to personal development.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24807C6" w14:textId="44CE5186" w:rsidR="00C03CCD" w:rsidRPr="00666EC2" w:rsidRDefault="00C03CCD" w:rsidP="00C03CC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Comply with the Trusts’ Health and Safety pol</w:t>
            </w:r>
            <w:r w:rsidR="003F3A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icy in all employment practices</w:t>
            </w:r>
          </w:p>
          <w:p w14:paraId="5DF5BA7D" w14:textId="1C17FF2E" w:rsidR="00C03CCD" w:rsidRPr="00666EC2" w:rsidRDefault="00C03CCD" w:rsidP="003F3AE8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Comply </w:t>
            </w:r>
            <w:r w:rsidR="003F3A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with other relevant policies and proceedures</w:t>
            </w:r>
          </w:p>
          <w:p w14:paraId="370046B9" w14:textId="18A3ED4D" w:rsidR="00C03CCD" w:rsidRPr="00666EC2" w:rsidRDefault="00C03CCD" w:rsidP="00C03CCD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Maintain the integrity of the Groundwork North East brand </w:t>
            </w:r>
            <w:r w:rsidR="003F3AE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 all times</w:t>
            </w:r>
          </w:p>
          <w:p w14:paraId="77CD1515" w14:textId="77777777" w:rsidR="00A97E15" w:rsidRDefault="00C03CCD" w:rsidP="001F489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Undertake any training and development deemed necessary for the pursuance of the post.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BC54E6D" w14:textId="5E157241" w:rsidR="001F4890" w:rsidRPr="00666EC2" w:rsidRDefault="001F4890" w:rsidP="001F489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E9B793" w14:textId="16332215" w:rsidR="00B21966" w:rsidRPr="00666EC2" w:rsidRDefault="00B21966">
      <w:pPr>
        <w:rPr>
          <w:rFonts w:asciiTheme="minorHAnsi" w:hAnsiTheme="minorHAnsi" w:cstheme="minorHAnsi"/>
          <w:sz w:val="22"/>
          <w:szCs w:val="22"/>
        </w:rPr>
      </w:pPr>
    </w:p>
    <w:p w14:paraId="63645C0F" w14:textId="686878DA" w:rsidR="00B10453" w:rsidRPr="00666EC2" w:rsidRDefault="00B10453">
      <w:pPr>
        <w:rPr>
          <w:rFonts w:asciiTheme="minorHAnsi" w:hAnsiTheme="minorHAnsi" w:cstheme="minorHAnsi"/>
          <w:sz w:val="22"/>
          <w:szCs w:val="22"/>
        </w:rPr>
      </w:pPr>
    </w:p>
    <w:p w14:paraId="54C9F303" w14:textId="24F36443" w:rsidR="00B10453" w:rsidRPr="00666EC2" w:rsidRDefault="00B1045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3750" w:type="dxa"/>
        <w:tblInd w:w="-5" w:type="dxa"/>
        <w:tblLook w:val="04A0" w:firstRow="1" w:lastRow="0" w:firstColumn="1" w:lastColumn="0" w:noHBand="0" w:noVBand="1"/>
      </w:tblPr>
      <w:tblGrid>
        <w:gridCol w:w="13750"/>
      </w:tblGrid>
      <w:tr w:rsidR="00DB49BB" w:rsidRPr="00666EC2" w14:paraId="670FE7E3" w14:textId="77777777" w:rsidTr="00323A52">
        <w:tc>
          <w:tcPr>
            <w:tcW w:w="13750" w:type="dxa"/>
          </w:tcPr>
          <w:p w14:paraId="2519BA61" w14:textId="2F7290FE" w:rsidR="00DB49BB" w:rsidRPr="00666EC2" w:rsidRDefault="00DB49BB" w:rsidP="00D423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Essential skills, experience and qualifications</w:t>
            </w: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14DDA"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</w:tr>
      <w:tr w:rsidR="00DB49BB" w:rsidRPr="00666EC2" w14:paraId="7BF9814D" w14:textId="77777777" w:rsidTr="00666EC2">
        <w:trPr>
          <w:trHeight w:hRule="exact" w:val="3440"/>
        </w:trPr>
        <w:tc>
          <w:tcPr>
            <w:tcW w:w="13750" w:type="dxa"/>
          </w:tcPr>
          <w:p w14:paraId="683FE8B2" w14:textId="01959CD1" w:rsidR="00DB49BB" w:rsidRDefault="00AD1C96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Some experience of gardening, landscaping, environmental conservation preferred</w:t>
            </w:r>
          </w:p>
          <w:p w14:paraId="63ADAEDA" w14:textId="171807CC" w:rsidR="00AD1C96" w:rsidRPr="00666EC2" w:rsidRDefault="00AD1C96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Understanding of risk assessment process and willingness to adhere to Health and Safety requirements</w:t>
            </w:r>
          </w:p>
          <w:p w14:paraId="19EC6926" w14:textId="40F6E6DA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Ability to perform physic</w:t>
            </w:r>
            <w:r w:rsidR="00C03879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al work outdoors in all-weather</w:t>
            </w:r>
          </w:p>
          <w:p w14:paraId="1D8A8E1B" w14:textId="0AFF5E32" w:rsidR="00C03CCD" w:rsidRPr="00666EC2" w:rsidRDefault="00C03879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Interest in the</w:t>
            </w:r>
            <w:r w:rsidR="00C03CCD"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environment including rivers/coasts and estuaries</w:t>
            </w:r>
            <w:r w:rsidR="00C03CCD"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6CEF0D1" w14:textId="7E1A571B" w:rsidR="00DB49BB" w:rsidRPr="00666EC2" w:rsidRDefault="00C03CCD" w:rsidP="002863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Must be over 18 years old.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6BDE2796" w14:textId="77777777" w:rsidR="00DB49BB" w:rsidRPr="00666EC2" w:rsidRDefault="00DB49B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25"/>
        <w:gridCol w:w="6520"/>
      </w:tblGrid>
      <w:tr w:rsidR="00AD4A91" w:rsidRPr="00666EC2" w14:paraId="59BA5CF5" w14:textId="77777777" w:rsidTr="00B21966">
        <w:tc>
          <w:tcPr>
            <w:tcW w:w="7225" w:type="dxa"/>
          </w:tcPr>
          <w:p w14:paraId="6FFFFF59" w14:textId="4AF3E7DA" w:rsidR="00F4316C" w:rsidRPr="00666EC2" w:rsidRDefault="00AD4A91" w:rsidP="00F4316C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Hours per week</w:t>
            </w: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812CF7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This should be a minimum of 25 hours</w:t>
            </w:r>
            <w:r w:rsidR="00F4316C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per week on average each month.</w:t>
            </w:r>
          </w:p>
          <w:p w14:paraId="44A18EC4" w14:textId="0A126D0A" w:rsidR="00AD4A91" w:rsidRPr="00666EC2" w:rsidRDefault="00812CF7" w:rsidP="00323A5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Only enter whole hours (for example, do not put 25.5)</w:t>
            </w:r>
          </w:p>
        </w:tc>
        <w:tc>
          <w:tcPr>
            <w:tcW w:w="6520" w:type="dxa"/>
          </w:tcPr>
          <w:p w14:paraId="2FD261CB" w14:textId="77777777" w:rsidR="00AD4A91" w:rsidRPr="00666EC2" w:rsidRDefault="00B971EC" w:rsidP="00812C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25 Hours</w:t>
            </w:r>
          </w:p>
          <w:p w14:paraId="04EED6FD" w14:textId="17A4FEDF" w:rsidR="00D423BD" w:rsidRPr="00666EC2" w:rsidRDefault="00D423BD" w:rsidP="00D42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91" w:rsidRPr="00666EC2" w14:paraId="50692828" w14:textId="77777777" w:rsidTr="00B21966">
        <w:tc>
          <w:tcPr>
            <w:tcW w:w="7225" w:type="dxa"/>
          </w:tcPr>
          <w:p w14:paraId="5D8D13EB" w14:textId="77777777" w:rsidR="00AD4A91" w:rsidRPr="00666EC2" w:rsidRDefault="00AD4A91" w:rsidP="00323A5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Working pattern</w:t>
            </w:r>
          </w:p>
          <w:p w14:paraId="08421450" w14:textId="77777777" w:rsidR="00B21966" w:rsidRPr="00666EC2" w:rsidRDefault="00812CF7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For example, 9am to 1pm, Monday to Thursday.  </w:t>
            </w:r>
          </w:p>
          <w:p w14:paraId="1AFC42ED" w14:textId="77777777" w:rsidR="00812CF7" w:rsidRPr="00666EC2" w:rsidRDefault="00812CF7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Include any shift patterns.</w:t>
            </w:r>
          </w:p>
          <w:p w14:paraId="6A11F0CA" w14:textId="4EDFA2F8" w:rsidR="00B776CB" w:rsidRPr="00666EC2" w:rsidRDefault="00B776CB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(Maximum 100 words) </w:t>
            </w:r>
          </w:p>
        </w:tc>
        <w:tc>
          <w:tcPr>
            <w:tcW w:w="6520" w:type="dxa"/>
          </w:tcPr>
          <w:p w14:paraId="6A8BB44B" w14:textId="77777777" w:rsidR="00D423BD" w:rsidRPr="00666EC2" w:rsidRDefault="00D423BD" w:rsidP="00D423B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DCB24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 days at 6 hours per day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F26E7BC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 day at 7 hours per day</w:t>
            </w: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2951854" w14:textId="77777777" w:rsidR="00C03CCD" w:rsidRPr="00666EC2" w:rsidRDefault="00C03CCD" w:rsidP="00C03CC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D4F6A45" w14:textId="0D1AEE50" w:rsidR="00812CF7" w:rsidRPr="00666EC2" w:rsidRDefault="00812CF7" w:rsidP="00812C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CC0B0" w14:textId="77777777" w:rsidR="00AD4A91" w:rsidRPr="00666EC2" w:rsidRDefault="00AD4A91" w:rsidP="00323A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91" w:rsidRPr="00666EC2" w14:paraId="546E6CB8" w14:textId="77777777" w:rsidTr="00B21966">
        <w:tc>
          <w:tcPr>
            <w:tcW w:w="7225" w:type="dxa"/>
          </w:tcPr>
          <w:p w14:paraId="6D36690F" w14:textId="77777777" w:rsidR="00AD4A91" w:rsidRPr="00666EC2" w:rsidRDefault="00AD4A91" w:rsidP="00323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Hourly rate of pay</w:t>
            </w:r>
          </w:p>
          <w:p w14:paraId="5B695F2E" w14:textId="77777777" w:rsidR="00812CF7" w:rsidRPr="00666EC2" w:rsidRDefault="00812CF7" w:rsidP="00323A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£ per hour or ‘national minimum wage’</w:t>
            </w:r>
            <w:r w:rsidRPr="00666EC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666E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br/>
            </w: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See www.gov.uk for further information on the National Minimum Wage.</w:t>
            </w:r>
          </w:p>
        </w:tc>
        <w:tc>
          <w:tcPr>
            <w:tcW w:w="6520" w:type="dxa"/>
          </w:tcPr>
          <w:p w14:paraId="747555ED" w14:textId="4EA719B9" w:rsidR="00AD4A91" w:rsidRPr="00666EC2" w:rsidRDefault="00B971EC" w:rsidP="00C452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4521D"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ational Minimum Wage </w:t>
            </w:r>
            <w:r w:rsidR="00AD4A91" w:rsidRPr="00666EC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="00AD4A91" w:rsidRPr="00666EC2">
              <w:rPr>
                <w:rFonts w:asciiTheme="minorHAnsi" w:hAnsiTheme="minorHAnsi" w:cstheme="minorHAnsi"/>
                <w:sz w:val="22"/>
                <w:szCs w:val="22"/>
              </w:rPr>
              <w:instrText xml:space="preserve"> =  \* MERGEFORMAT </w:instrText>
            </w:r>
            <w:r w:rsidR="00AD4A91" w:rsidRPr="00666E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08B6B00" w14:textId="77777777" w:rsidR="00E2100D" w:rsidRPr="00666EC2" w:rsidRDefault="00E2100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4012" w:type="dxa"/>
        <w:tblInd w:w="-5" w:type="dxa"/>
        <w:tblLook w:val="04A0" w:firstRow="1" w:lastRow="0" w:firstColumn="1" w:lastColumn="0" w:noHBand="0" w:noVBand="1"/>
      </w:tblPr>
      <w:tblGrid>
        <w:gridCol w:w="14012"/>
      </w:tblGrid>
      <w:tr w:rsidR="00AD4A91" w:rsidRPr="00666EC2" w14:paraId="5BE4ABDA" w14:textId="77777777" w:rsidTr="00B971EC">
        <w:trPr>
          <w:trHeight w:val="8477"/>
        </w:trPr>
        <w:tc>
          <w:tcPr>
            <w:tcW w:w="14012" w:type="dxa"/>
          </w:tcPr>
          <w:p w14:paraId="3F94A4FC" w14:textId="47829556" w:rsidR="00AD4A91" w:rsidRPr="00666EC2" w:rsidRDefault="00AD4A91" w:rsidP="00323A5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lastRenderedPageBreak/>
              <w:t>Employability support</w:t>
            </w: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48A240C" w14:textId="1115A466" w:rsidR="00AD4A91" w:rsidRPr="00666EC2" w:rsidRDefault="00E27630" w:rsidP="00323A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Use plain text only.</w:t>
            </w:r>
            <w:r w:rsidR="00783CFB"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674BA" w:rsidRPr="00666EC2">
              <w:rPr>
                <w:rFonts w:asciiTheme="minorHAnsi" w:hAnsiTheme="minorHAnsi" w:cstheme="minorHAnsi"/>
                <w:sz w:val="22"/>
                <w:szCs w:val="22"/>
              </w:rPr>
              <w:t>Do not use, for example,bullet points or tables to lay out this information.</w:t>
            </w:r>
          </w:p>
          <w:p w14:paraId="6E782B21" w14:textId="77777777" w:rsidR="00E27630" w:rsidRPr="00666EC2" w:rsidRDefault="00E27630" w:rsidP="00323A5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295CBA9" w14:textId="223203DF" w:rsidR="00812CF7" w:rsidRPr="00666EC2" w:rsidRDefault="00812CF7" w:rsidP="00812CF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part of your agreement, Kickstart Scheme participants must be provided with support, to improve their employment prospects and help them move into long</w:t>
            </w:r>
            <w:r w:rsidR="00707025"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term sustained employment. </w:t>
            </w:r>
          </w:p>
          <w:p w14:paraId="0216C8CA" w14:textId="41D98186" w:rsidR="003508BC" w:rsidRPr="00666EC2" w:rsidRDefault="003508BC" w:rsidP="00245E9A">
            <w:pPr>
              <w:pStyle w:val="ListParagraph"/>
              <w:ind w:left="108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21AB0D" w14:textId="4E550735" w:rsidR="003508BC" w:rsidRPr="00666EC2" w:rsidRDefault="003508BC" w:rsidP="003508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How will you help to develop the young persons teamwork and communication skills?</w:t>
            </w:r>
          </w:p>
          <w:p w14:paraId="09ABD803" w14:textId="2F024DED" w:rsidR="003508BC" w:rsidRPr="00666EC2" w:rsidRDefault="003508BC" w:rsidP="003508B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What training will the young person receive as part of the role?</w:t>
            </w:r>
          </w:p>
          <w:p w14:paraId="75E63CB1" w14:textId="5C0604C1" w:rsidR="003508BC" w:rsidRPr="00666EC2" w:rsidRDefault="003508BC" w:rsidP="00812CF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How will you help the young person improve their job prospects?</w:t>
            </w:r>
          </w:p>
          <w:p w14:paraId="47B2CA11" w14:textId="77777777" w:rsidR="00812CF7" w:rsidRPr="00666EC2" w:rsidRDefault="00812CF7" w:rsidP="00812CF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47A5B8C" w14:textId="77777777" w:rsidR="005952F0" w:rsidRPr="00666EC2" w:rsidRDefault="00812CF7" w:rsidP="005952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You will have already submitted this information, as part of your Kickstart Scheme application.</w:t>
            </w:r>
          </w:p>
          <w:p w14:paraId="333C8B7F" w14:textId="77777777" w:rsidR="005952F0" w:rsidRPr="00AD1C96" w:rsidRDefault="005952F0" w:rsidP="005952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1C9428" w14:textId="3D61D456" w:rsidR="00614DDA" w:rsidRPr="00666EC2" w:rsidRDefault="00812CF7" w:rsidP="005952F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1C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Note: </w:t>
            </w:r>
            <w:r w:rsidR="00EF3B17" w:rsidRPr="00AD1C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Please tell us if this support is being provided by a third party.</w:t>
            </w:r>
            <w:r w:rsidR="00614DDA"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14DDA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You will need to tell us:</w:t>
            </w:r>
          </w:p>
          <w:p w14:paraId="0C7FFCAC" w14:textId="77777777" w:rsidR="00614DDA" w:rsidRPr="00666EC2" w:rsidRDefault="00614DDA" w:rsidP="00614DDA">
            <w:pPr>
              <w:pStyle w:val="CommentTex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who is providing the support</w:t>
            </w:r>
          </w:p>
          <w:p w14:paraId="7A93A0FA" w14:textId="77777777" w:rsidR="00614DDA" w:rsidRPr="00666EC2" w:rsidRDefault="00614DDA" w:rsidP="00614DDA">
            <w:pPr>
              <w:pStyle w:val="CommentTex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when and how often</w:t>
            </w:r>
          </w:p>
          <w:p w14:paraId="1338433B" w14:textId="77777777" w:rsidR="00614DDA" w:rsidRPr="00666EC2" w:rsidRDefault="00614DDA" w:rsidP="00614DDA">
            <w:pPr>
              <w:pStyle w:val="CommentText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how it will be delivered</w:t>
            </w:r>
          </w:p>
          <w:p w14:paraId="0CA2CAF3" w14:textId="77777777" w:rsidR="00AD4A91" w:rsidRPr="00BF7406" w:rsidRDefault="00614DDA" w:rsidP="00AD4A91">
            <w:pPr>
              <w:pStyle w:val="CommentText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where it will be delivered (online or </w:t>
            </w:r>
            <w:r w:rsidR="00B2079F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 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separate location)</w:t>
            </w:r>
          </w:p>
          <w:p w14:paraId="68125A10" w14:textId="77777777" w:rsidR="00BF7406" w:rsidRDefault="00BF7406" w:rsidP="00BF7406">
            <w:pPr>
              <w:pStyle w:val="Comment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32549C" w14:textId="45F8766B" w:rsidR="00BF7406" w:rsidRPr="00AD1C96" w:rsidRDefault="00BF7406" w:rsidP="00BF7406">
            <w:pPr>
              <w:pStyle w:val="CommentTex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D1C9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See next page…….</w:t>
            </w:r>
          </w:p>
        </w:tc>
      </w:tr>
      <w:tr w:rsidR="00AD4A91" w:rsidRPr="00666EC2" w14:paraId="4B3A49AB" w14:textId="77777777" w:rsidTr="00B971EC">
        <w:trPr>
          <w:trHeight w:hRule="exact" w:val="4078"/>
        </w:trPr>
        <w:tc>
          <w:tcPr>
            <w:tcW w:w="14012" w:type="dxa"/>
          </w:tcPr>
          <w:p w14:paraId="04478C26" w14:textId="5769C893" w:rsidR="00B971EC" w:rsidRPr="00666EC2" w:rsidRDefault="00B971EC" w:rsidP="0062238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5E84EE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Induction to Kickstart, the placement role and employer 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</w:t>
            </w:r>
          </w:p>
          <w:p w14:paraId="351E6B7D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Support with interview preparation and back ground information of employer prior to interview</w:t>
            </w:r>
          </w:p>
          <w:p w14:paraId="6B0E69C2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 xml:space="preserve">Better off in work calculations and information on additional benefits </w:t>
            </w:r>
          </w:p>
          <w:p w14:paraId="22FC1F08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Assessment of current level of skills and experience to support in developing training package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 in line with placement and long term job goal</w:t>
            </w:r>
          </w:p>
          <w:p w14:paraId="3D3F2A95" w14:textId="5EECA61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Project budget to provide specific training tailored to an individual’s needs for example chainsaw licence, brushcutter, pesticide application and working by water.</w:t>
            </w:r>
          </w:p>
          <w:p w14:paraId="37AC9B65" w14:textId="5D85859C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Full PPE relevant to any technical tasks carried out during their employment </w:t>
            </w:r>
          </w:p>
          <w:p w14:paraId="3B516434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Learning how to tailor CV’s to sector specific roles</w:t>
            </w:r>
          </w:p>
          <w:p w14:paraId="3C7E0312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Support in the transition of starting the placement e.g. benefits, travel to work plans 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</w:t>
            </w:r>
          </w:p>
          <w:p w14:paraId="49489DC2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Regular 1 to 1 reviews with personal advisor to progress within the work placement and support in sustaining employment</w:t>
            </w:r>
          </w:p>
          <w:p w14:paraId="01D8FB9D" w14:textId="77777777" w:rsidR="00666EC2" w:rsidRDefault="00666EC2" w:rsidP="00666EC2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1F1E"/>
                <w:sz w:val="22"/>
                <w:szCs w:val="22"/>
                <w:bdr w:val="none" w:sz="0" w:space="0" w:color="auto" w:frame="1"/>
              </w:rPr>
              <w:t>Understanding of H&amp;S at work including Covid-19 awareness and provision of any COVID related PPE 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 </w:t>
            </w:r>
          </w:p>
          <w:p w14:paraId="5FB5B12E" w14:textId="77777777" w:rsidR="00666EC2" w:rsidRPr="00666EC2" w:rsidRDefault="00666EC2" w:rsidP="0097252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Relevant webinars to suit post holders interes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t</w:t>
            </w:r>
          </w:p>
          <w:p w14:paraId="0B841828" w14:textId="6A5103A4" w:rsidR="00292583" w:rsidRPr="00666EC2" w:rsidRDefault="00666EC2" w:rsidP="00972521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 xml:space="preserve">Coaching/ </w:t>
            </w:r>
            <w:r>
              <w:rPr>
                <w:rFonts w:asciiTheme="minorHAnsi" w:hAnsiTheme="minorHAnsi" w:cstheme="minorHAnsi"/>
                <w:color w:val="201F1E"/>
                <w:sz w:val="22"/>
                <w:szCs w:val="22"/>
              </w:rPr>
              <w:t>support on personal development.</w:t>
            </w:r>
          </w:p>
          <w:p w14:paraId="31FFE5E3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E1734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A24AE" w14:textId="6F95D1A3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984283" w14:textId="293C95CD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4B96C4" w14:textId="32E3A702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8ACE58" w14:textId="021ADEEA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65B6C" w14:textId="2F4E22B8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6A736" w14:textId="2599AF91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F10533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AD6AD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CB5551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ACC96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4EFA28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C67C28" w14:textId="77777777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4D9F4" w14:textId="0FDF90E6" w:rsidR="00292583" w:rsidRPr="00666EC2" w:rsidRDefault="00292583" w:rsidP="00622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2911C5" w14:textId="77777777" w:rsidR="00AD4A91" w:rsidRPr="00666EC2" w:rsidRDefault="00AD4A91">
      <w:pPr>
        <w:rPr>
          <w:rFonts w:asciiTheme="minorHAnsi" w:hAnsiTheme="minorHAnsi" w:cstheme="minorHAnsi"/>
          <w:sz w:val="22"/>
          <w:szCs w:val="22"/>
        </w:rPr>
      </w:pPr>
    </w:p>
    <w:p w14:paraId="34BF094D" w14:textId="20613FDC" w:rsidR="00292583" w:rsidRPr="00666EC2" w:rsidRDefault="00292583">
      <w:pPr>
        <w:rPr>
          <w:rFonts w:asciiTheme="minorHAnsi" w:hAnsiTheme="minorHAnsi" w:cstheme="minorHAnsi"/>
          <w:sz w:val="22"/>
          <w:szCs w:val="22"/>
        </w:rPr>
      </w:pPr>
      <w:r w:rsidRPr="00666EC2">
        <w:rPr>
          <w:rFonts w:asciiTheme="minorHAnsi" w:hAnsiTheme="minorHAnsi" w:cstheme="minorHAnsi"/>
          <w:sz w:val="22"/>
          <w:szCs w:val="22"/>
        </w:rPr>
        <w:br w:type="page"/>
      </w:r>
    </w:p>
    <w:p w14:paraId="4DDB9597" w14:textId="77777777" w:rsidR="00AD4A91" w:rsidRPr="00666EC2" w:rsidRDefault="00AD4A91">
      <w:pPr>
        <w:rPr>
          <w:rFonts w:asciiTheme="minorHAnsi" w:hAnsiTheme="minorHAnsi" w:cstheme="minorHAnsi"/>
          <w:sz w:val="22"/>
          <w:szCs w:val="22"/>
        </w:rPr>
      </w:pPr>
    </w:p>
    <w:p w14:paraId="1FD49927" w14:textId="677EDB8F" w:rsidR="00AD4A91" w:rsidRPr="00666EC2" w:rsidRDefault="00AD4A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21546" w:type="dxa"/>
        <w:tblInd w:w="-57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06"/>
        <w:gridCol w:w="1214"/>
        <w:gridCol w:w="1359"/>
        <w:gridCol w:w="1417"/>
        <w:gridCol w:w="1177"/>
        <w:gridCol w:w="2141"/>
        <w:gridCol w:w="3198"/>
        <w:gridCol w:w="1920"/>
        <w:gridCol w:w="4555"/>
        <w:gridCol w:w="1959"/>
      </w:tblGrid>
      <w:tr w:rsidR="00FF145C" w:rsidRPr="00666EC2" w14:paraId="7C7028BC" w14:textId="77777777" w:rsidTr="21A3498B">
        <w:tc>
          <w:tcPr>
            <w:tcW w:w="21546" w:type="dxa"/>
            <w:gridSpan w:val="10"/>
          </w:tcPr>
          <w:p w14:paraId="6499D43E" w14:textId="27918C47" w:rsidR="00FF145C" w:rsidRPr="00666EC2" w:rsidRDefault="00FF145C" w:rsidP="0063005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If your vacancies are in more than one location, please complete a separate row for each</w:t>
            </w:r>
          </w:p>
        </w:tc>
      </w:tr>
      <w:tr w:rsidR="00830082" w:rsidRPr="00666EC2" w14:paraId="26974753" w14:textId="77777777" w:rsidTr="00666EC2">
        <w:tc>
          <w:tcPr>
            <w:tcW w:w="2606" w:type="dxa"/>
          </w:tcPr>
          <w:p w14:paraId="458DFC64" w14:textId="77777777" w:rsidR="00417B89" w:rsidRPr="00666EC2" w:rsidRDefault="00417B89" w:rsidP="00AD4A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Where is this job based?</w:t>
            </w:r>
          </w:p>
          <w:p w14:paraId="73185E1E" w14:textId="77777777" w:rsidR="00417B89" w:rsidRPr="00666EC2" w:rsidRDefault="00417B89" w:rsidP="00071433">
            <w:p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</w:p>
        </w:tc>
        <w:tc>
          <w:tcPr>
            <w:tcW w:w="1214" w:type="dxa"/>
          </w:tcPr>
          <w:p w14:paraId="08DFA448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No of jobs at this location</w:t>
            </w:r>
          </w:p>
        </w:tc>
        <w:tc>
          <w:tcPr>
            <w:tcW w:w="1359" w:type="dxa"/>
          </w:tcPr>
          <w:p w14:paraId="61FF0E1E" w14:textId="734AF5ED" w:rsidR="00417B89" w:rsidRPr="00666EC2" w:rsidRDefault="00417B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When do you want to start advertising this job?</w:t>
            </w:r>
          </w:p>
        </w:tc>
        <w:tc>
          <w:tcPr>
            <w:tcW w:w="1417" w:type="dxa"/>
          </w:tcPr>
          <w:p w14:paraId="06AE098B" w14:textId="65AE1240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Maximum number of referrals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you wish to receive </w:t>
            </w: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 job</w:t>
            </w:r>
          </w:p>
        </w:tc>
        <w:tc>
          <w:tcPr>
            <w:tcW w:w="1177" w:type="dxa"/>
          </w:tcPr>
          <w:p w14:paraId="5DB0D37D" w14:textId="77777777" w:rsidR="00417B89" w:rsidRPr="00666EC2" w:rsidRDefault="00417B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Is public transport available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to this location?</w:t>
            </w:r>
          </w:p>
        </w:tc>
        <w:tc>
          <w:tcPr>
            <w:tcW w:w="2141" w:type="dxa"/>
          </w:tcPr>
          <w:p w14:paraId="63AE52E0" w14:textId="77777777" w:rsidR="00417B89" w:rsidRPr="00666EC2" w:rsidRDefault="00417B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Full address and postcode of the job location</w:t>
            </w:r>
          </w:p>
          <w:p w14:paraId="31AE4DDE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EE061C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8" w:type="dxa"/>
          </w:tcPr>
          <w:p w14:paraId="746D0615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Contact name, email and phone number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 for this job</w:t>
            </w:r>
          </w:p>
          <w:p w14:paraId="158F5063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0BAA13" w14:textId="77777777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</w:tcPr>
          <w:p w14:paraId="0FB1CD59" w14:textId="77777777" w:rsidR="00417B89" w:rsidRPr="00666EC2" w:rsidRDefault="00417B89" w:rsidP="00FF301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Closing date for applications</w:t>
            </w:r>
          </w:p>
          <w:p w14:paraId="5E27B85E" w14:textId="56979166" w:rsidR="00417B89" w:rsidRPr="00666EC2" w:rsidRDefault="00417B89" w:rsidP="00FF301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555" w:type="dxa"/>
          </w:tcPr>
          <w:p w14:paraId="7E08D701" w14:textId="20C26EF7" w:rsidR="00417B89" w:rsidRPr="00666EC2" w:rsidRDefault="00417B89" w:rsidP="00FF3014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How to apply</w:t>
            </w:r>
          </w:p>
          <w:p w14:paraId="50700643" w14:textId="77777777" w:rsidR="00417B89" w:rsidRPr="00666EC2" w:rsidRDefault="00417B89" w:rsidP="00FF30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59" w:type="dxa"/>
          </w:tcPr>
          <w:p w14:paraId="78887902" w14:textId="0A82A13B" w:rsidR="00417B89" w:rsidRPr="00666EC2" w:rsidRDefault="00417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b/>
                <w:sz w:val="22"/>
                <w:szCs w:val="22"/>
              </w:rPr>
              <w:t>Anticipated start date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 xml:space="preserve"> for this job</w:t>
            </w:r>
          </w:p>
        </w:tc>
      </w:tr>
      <w:tr w:rsidR="00830082" w:rsidRPr="00666EC2" w14:paraId="6FFC3559" w14:textId="77777777" w:rsidTr="00666EC2">
        <w:tc>
          <w:tcPr>
            <w:tcW w:w="2606" w:type="dxa"/>
          </w:tcPr>
          <w:p w14:paraId="480A8985" w14:textId="1327443B" w:rsidR="00417B89" w:rsidRPr="00666EC2" w:rsidRDefault="00666EC2" w:rsidP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 xml:space="preserve">Office base: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Pegswood – Gateshead </w:t>
            </w:r>
            <w:r w:rsidR="002B4A5A"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(will be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 xml:space="preserve"> transported to sites in Northumberland</w:t>
            </w:r>
            <w:r w:rsidR="002B4A5A"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. Possibility to meet on site should the applicant be based in Ashington / Blyth areas.</w:t>
            </w:r>
          </w:p>
        </w:tc>
        <w:tc>
          <w:tcPr>
            <w:tcW w:w="1214" w:type="dxa"/>
          </w:tcPr>
          <w:p w14:paraId="574A7FAB" w14:textId="77EED818" w:rsidR="00417B89" w:rsidRPr="00666EC2" w:rsidRDefault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59" w:type="dxa"/>
          </w:tcPr>
          <w:p w14:paraId="627B3D33" w14:textId="385703C8" w:rsidR="00417B89" w:rsidRPr="00666EC2" w:rsidRDefault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</w:tc>
        <w:tc>
          <w:tcPr>
            <w:tcW w:w="1417" w:type="dxa"/>
          </w:tcPr>
          <w:p w14:paraId="6010A07B" w14:textId="2E341DD0" w:rsidR="00417B89" w:rsidRPr="00666EC2" w:rsidRDefault="002B4A5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77" w:type="dxa"/>
          </w:tcPr>
          <w:p w14:paraId="78E974F5" w14:textId="7042907F" w:rsidR="00417B89" w:rsidRPr="00666EC2" w:rsidRDefault="00C03C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141" w:type="dxa"/>
          </w:tcPr>
          <w:p w14:paraId="2F38D8E3" w14:textId="74FBC65C" w:rsidR="00417B89" w:rsidRPr="00666EC2" w:rsidRDefault="00666EC2" w:rsidP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Groundwork NE &amp; Cumbria, Union Depot Pegswood Village, Morpeth NE61 6RG</w:t>
            </w:r>
            <w:r w:rsidR="002B4A5A"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198" w:type="dxa"/>
          </w:tcPr>
          <w:p w14:paraId="32E535F0" w14:textId="64638E40" w:rsidR="00B971EC" w:rsidRPr="00666EC2" w:rsidRDefault="006A2773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830082" w:rsidRPr="00666E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Gnec.ksjobs@groundwork.org.uk</w:t>
              </w:r>
            </w:hyperlink>
          </w:p>
          <w:p w14:paraId="3FCA4AA5" w14:textId="536C00E5" w:rsidR="00074C38" w:rsidRDefault="00666EC2">
            <w:pPr>
              <w:rPr>
                <w:rStyle w:val="Hyperlink"/>
              </w:rPr>
            </w:pPr>
            <w:r>
              <w:rPr>
                <w:rStyle w:val="Hyperlink"/>
              </w:rPr>
              <w:t>Hellen Hornby</w:t>
            </w:r>
          </w:p>
          <w:p w14:paraId="716B2389" w14:textId="186A6D26" w:rsidR="00666EC2" w:rsidRPr="00666EC2" w:rsidRDefault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yperlink"/>
              </w:rPr>
              <w:t>07548223757</w:t>
            </w:r>
          </w:p>
          <w:p w14:paraId="1380EE5E" w14:textId="77777777" w:rsidR="00417B89" w:rsidRPr="00666EC2" w:rsidRDefault="00417B89" w:rsidP="002B4A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</w:tcPr>
          <w:p w14:paraId="0A2663F4" w14:textId="2080E739" w:rsidR="00417B89" w:rsidRPr="00666EC2" w:rsidRDefault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2B4A5A" w:rsidRPr="00666EC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09/</w:t>
            </w:r>
            <w:r w:rsidR="002B4A5A" w:rsidRPr="00666EC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4555" w:type="dxa"/>
          </w:tcPr>
          <w:p w14:paraId="677A9760" w14:textId="324FC503" w:rsidR="00417B89" w:rsidRPr="00666EC2" w:rsidRDefault="15E98553" w:rsidP="21A3498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 application form found on – </w:t>
            </w:r>
          </w:p>
          <w:p w14:paraId="02B35652" w14:textId="7A1C3A87" w:rsidR="00417B89" w:rsidRPr="00666EC2" w:rsidRDefault="006A2773" w:rsidP="21A3498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>
              <w:r w:rsidR="15E98553" w:rsidRPr="00666EC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www.groundwork.org.uk/kickstart-ne-cumbria/</w:t>
              </w:r>
            </w:hyperlink>
            <w:r w:rsidR="15E98553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11E3D73" w14:textId="4EC4550B" w:rsidR="00417B89" w:rsidRPr="00666EC2" w:rsidRDefault="15E98553" w:rsidP="21A3498B">
            <w:pPr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853B946" w14:textId="375FD956" w:rsidR="00417B89" w:rsidRPr="00666EC2" w:rsidRDefault="00666EC2" w:rsidP="21A3498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Ensure reference RoE</w:t>
            </w:r>
            <w:r w:rsidR="00074C38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15E98553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is put on form and return to:   </w:t>
            </w:r>
            <w:hyperlink r:id="rId12">
              <w:r w:rsidR="15E98553" w:rsidRPr="00666EC2">
                <w:rPr>
                  <w:rStyle w:val="Hyperlink"/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t>GNEC.KSJobs@groundwork.org.uk</w:t>
              </w:r>
            </w:hyperlink>
          </w:p>
          <w:p w14:paraId="16C9E0AD" w14:textId="67B972D3" w:rsidR="00417B89" w:rsidRPr="00666EC2" w:rsidRDefault="00417B89" w:rsidP="21A349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</w:tcPr>
          <w:p w14:paraId="1E52F7E1" w14:textId="1E38CF09" w:rsidR="00417B89" w:rsidRPr="00666EC2" w:rsidRDefault="00666E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2021</w:t>
            </w:r>
          </w:p>
        </w:tc>
      </w:tr>
      <w:tr w:rsidR="00BF7406" w:rsidRPr="00666EC2" w14:paraId="6AF9FDA3" w14:textId="77777777" w:rsidTr="00666EC2">
        <w:tc>
          <w:tcPr>
            <w:tcW w:w="2606" w:type="dxa"/>
          </w:tcPr>
          <w:p w14:paraId="049DB6FA" w14:textId="6E798584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Sunderland </w:t>
            </w:r>
            <w:r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(will be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 xml:space="preserve"> transported to sites in Tyne and Wear</w:t>
            </w:r>
            <w:r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214" w:type="dxa"/>
          </w:tcPr>
          <w:p w14:paraId="31813BA2" w14:textId="4CDB2A6A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59" w:type="dxa"/>
          </w:tcPr>
          <w:p w14:paraId="4F45E4B9" w14:textId="7C24BC8B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</w:tc>
        <w:tc>
          <w:tcPr>
            <w:tcW w:w="1417" w:type="dxa"/>
          </w:tcPr>
          <w:p w14:paraId="45D99323" w14:textId="322DBF1A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77" w:type="dxa"/>
          </w:tcPr>
          <w:p w14:paraId="46EE8506" w14:textId="20090C1C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141" w:type="dxa"/>
          </w:tcPr>
          <w:p w14:paraId="477212D1" w14:textId="207942E6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Groundwork NE &amp; Cumbria, 6 Norfolk Street, Sunderland SR1 1EA</w:t>
            </w:r>
          </w:p>
        </w:tc>
        <w:tc>
          <w:tcPr>
            <w:tcW w:w="3198" w:type="dxa"/>
          </w:tcPr>
          <w:p w14:paraId="627879FD" w14:textId="77777777" w:rsidR="00BF7406" w:rsidRPr="00666EC2" w:rsidRDefault="006A2773" w:rsidP="00BF7406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="00BF7406" w:rsidRPr="00666E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Gnec.ksjobs@groundwork.org.uk</w:t>
              </w:r>
            </w:hyperlink>
          </w:p>
          <w:p w14:paraId="42ECB8E6" w14:textId="77777777" w:rsidR="00BF7406" w:rsidRDefault="00BF7406" w:rsidP="00BF7406">
            <w:pPr>
              <w:rPr>
                <w:rStyle w:val="Hyperlink"/>
              </w:rPr>
            </w:pPr>
            <w:r>
              <w:rPr>
                <w:rStyle w:val="Hyperlink"/>
              </w:rPr>
              <w:t>Hellen Hornby</w:t>
            </w:r>
          </w:p>
          <w:p w14:paraId="0E7E2F2B" w14:textId="77777777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yperlink"/>
              </w:rPr>
              <w:t>07548223757</w:t>
            </w:r>
          </w:p>
          <w:p w14:paraId="7E48BB62" w14:textId="77777777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</w:tcPr>
          <w:p w14:paraId="7832C09A" w14:textId="437DAB3E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09/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4555" w:type="dxa"/>
          </w:tcPr>
          <w:p w14:paraId="471F3547" w14:textId="77777777" w:rsidR="00BF7406" w:rsidRPr="00666EC2" w:rsidRDefault="00BF7406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 application form found on – </w:t>
            </w:r>
          </w:p>
          <w:p w14:paraId="134BB0C6" w14:textId="77777777" w:rsidR="00BF7406" w:rsidRPr="00666EC2" w:rsidRDefault="006A2773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>
              <w:r w:rsidR="00BF7406" w:rsidRPr="00666EC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www.groundwork.org.uk/kickstart-ne-cumbria/</w:t>
              </w:r>
            </w:hyperlink>
            <w:r w:rsidR="00BF7406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9C95673" w14:textId="77777777" w:rsidR="00BF7406" w:rsidRPr="00666EC2" w:rsidRDefault="00BF7406" w:rsidP="00BF7406">
            <w:pPr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C064E4D" w14:textId="77777777" w:rsidR="00BF7406" w:rsidRPr="00666EC2" w:rsidRDefault="00BF7406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Ensure reference RoE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 put on form and return to:   </w:t>
            </w:r>
            <w:hyperlink r:id="rId14">
              <w:r w:rsidRPr="00666EC2">
                <w:rPr>
                  <w:rStyle w:val="Hyperlink"/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t>GNEC.KSJobs@groundwork.org.uk</w:t>
              </w:r>
            </w:hyperlink>
          </w:p>
          <w:p w14:paraId="44C1EACE" w14:textId="7DD53A83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</w:tcPr>
          <w:p w14:paraId="4749882D" w14:textId="40DB94E3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2021</w:t>
            </w:r>
          </w:p>
        </w:tc>
      </w:tr>
      <w:tr w:rsidR="00BF7406" w:rsidRPr="00666EC2" w14:paraId="6D2BC3F2" w14:textId="77777777" w:rsidTr="00666EC2">
        <w:tc>
          <w:tcPr>
            <w:tcW w:w="2606" w:type="dxa"/>
          </w:tcPr>
          <w:p w14:paraId="54B81247" w14:textId="4EA6EA6D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Middlesbrough   </w:t>
            </w:r>
            <w:r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(will be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 xml:space="preserve"> transported to sites on the Tees and Esk</w:t>
            </w:r>
            <w:r w:rsidRPr="00666EC2"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)</w:t>
            </w:r>
            <w:r>
              <w:rPr>
                <w:rFonts w:asciiTheme="minorHAnsi" w:hAnsiTheme="minorHAnsi" w:cstheme="minorHAnsi"/>
                <w:color w:val="666666"/>
                <w:sz w:val="22"/>
                <w:szCs w:val="22"/>
                <w:shd w:val="clear" w:color="auto" w:fill="FFFFFF"/>
              </w:rPr>
              <w:t>. Possibility to meet on site should the applicant be based in the Whitby area.</w:t>
            </w:r>
          </w:p>
        </w:tc>
        <w:tc>
          <w:tcPr>
            <w:tcW w:w="1214" w:type="dxa"/>
          </w:tcPr>
          <w:p w14:paraId="34A215A5" w14:textId="7D15D511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59" w:type="dxa"/>
          </w:tcPr>
          <w:p w14:paraId="736D1689" w14:textId="664EB2EC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TBC</w:t>
            </w:r>
          </w:p>
        </w:tc>
        <w:tc>
          <w:tcPr>
            <w:tcW w:w="1417" w:type="dxa"/>
          </w:tcPr>
          <w:p w14:paraId="49252B57" w14:textId="67C6D45D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177" w:type="dxa"/>
          </w:tcPr>
          <w:p w14:paraId="31FC7EA0" w14:textId="51CDD02C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</w:tc>
        <w:tc>
          <w:tcPr>
            <w:tcW w:w="2141" w:type="dxa"/>
          </w:tcPr>
          <w:p w14:paraId="3E9287AF" w14:textId="3F9600A4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Groundwork NE &amp; Cumbria, Linthorpe Cemetery Lodge, Burlam Road, Middlesbrough TS5 5AP</w:t>
            </w:r>
          </w:p>
        </w:tc>
        <w:tc>
          <w:tcPr>
            <w:tcW w:w="3198" w:type="dxa"/>
          </w:tcPr>
          <w:p w14:paraId="3B2FC07B" w14:textId="77777777" w:rsidR="00BF7406" w:rsidRPr="00666EC2" w:rsidRDefault="006A2773" w:rsidP="00BF7406">
            <w:pPr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="00BF7406" w:rsidRPr="00666EC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Gnec.ksjobs@groundwork.org.uk</w:t>
              </w:r>
            </w:hyperlink>
          </w:p>
          <w:p w14:paraId="31F7F45E" w14:textId="77777777" w:rsidR="00BF7406" w:rsidRDefault="00BF7406" w:rsidP="00BF7406">
            <w:pPr>
              <w:rPr>
                <w:rStyle w:val="Hyperlink"/>
              </w:rPr>
            </w:pPr>
            <w:r>
              <w:rPr>
                <w:rStyle w:val="Hyperlink"/>
              </w:rPr>
              <w:t>Hellen Hornby</w:t>
            </w:r>
          </w:p>
          <w:p w14:paraId="10669125" w14:textId="77777777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yperlink"/>
              </w:rPr>
              <w:t>07548223757</w:t>
            </w:r>
          </w:p>
          <w:p w14:paraId="166C09F6" w14:textId="77777777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</w:tcPr>
          <w:p w14:paraId="68E41161" w14:textId="5FDC9B34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09/</w:t>
            </w:r>
            <w:r w:rsidRPr="00666EC2">
              <w:rPr>
                <w:rFonts w:asciiTheme="minorHAnsi" w:hAnsiTheme="minorHAnsi" w:cstheme="minorHAnsi"/>
                <w:sz w:val="22"/>
                <w:szCs w:val="22"/>
              </w:rPr>
              <w:t>2021</w:t>
            </w:r>
          </w:p>
        </w:tc>
        <w:tc>
          <w:tcPr>
            <w:tcW w:w="4555" w:type="dxa"/>
          </w:tcPr>
          <w:p w14:paraId="2D3B09C3" w14:textId="77777777" w:rsidR="00BF7406" w:rsidRPr="00666EC2" w:rsidRDefault="00BF7406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Complete application form found on – </w:t>
            </w:r>
          </w:p>
          <w:p w14:paraId="4CF23895" w14:textId="77777777" w:rsidR="00BF7406" w:rsidRPr="00666EC2" w:rsidRDefault="006A2773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>
              <w:r w:rsidR="00BF7406" w:rsidRPr="00666EC2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www.groundwork.org.uk/kickstart-ne-cumbria/</w:t>
              </w:r>
            </w:hyperlink>
            <w:r w:rsidR="00BF7406"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371958F" w14:textId="77777777" w:rsidR="00BF7406" w:rsidRPr="00666EC2" w:rsidRDefault="00BF7406" w:rsidP="00BF7406">
            <w:pPr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</w:pPr>
            <w:r w:rsidRPr="00666EC2">
              <w:rPr>
                <w:rFonts w:asciiTheme="minorHAnsi" w:eastAsia="Segoe U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78331DE" w14:textId="77777777" w:rsidR="00BF7406" w:rsidRPr="00666EC2" w:rsidRDefault="00BF7406" w:rsidP="00BF740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Ensure reference RoE</w:t>
            </w:r>
            <w:r w:rsidRPr="00666E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is put on form and return to:   </w:t>
            </w:r>
            <w:hyperlink r:id="rId16">
              <w:r w:rsidRPr="00666EC2">
                <w:rPr>
                  <w:rStyle w:val="Hyperlink"/>
                  <w:rFonts w:asciiTheme="minorHAnsi" w:eastAsia="Calibri" w:hAnsiTheme="minorHAnsi" w:cstheme="minorHAnsi"/>
                  <w:b/>
                  <w:bCs/>
                  <w:sz w:val="22"/>
                  <w:szCs w:val="22"/>
                </w:rPr>
                <w:t>GNEC.KSJobs@groundwork.org.uk</w:t>
              </w:r>
            </w:hyperlink>
          </w:p>
          <w:p w14:paraId="3297D951" w14:textId="4E13CE74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9" w:type="dxa"/>
          </w:tcPr>
          <w:p w14:paraId="49C6DD7C" w14:textId="5CCDF86D" w:rsidR="00BF7406" w:rsidRPr="00666EC2" w:rsidRDefault="00BF7406" w:rsidP="00BF74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September 2021</w:t>
            </w:r>
          </w:p>
        </w:tc>
      </w:tr>
    </w:tbl>
    <w:p w14:paraId="6CF4A38E" w14:textId="77777777" w:rsidR="00CE7652" w:rsidRPr="00666EC2" w:rsidRDefault="00CE7652" w:rsidP="00BF7406">
      <w:pPr>
        <w:rPr>
          <w:rFonts w:asciiTheme="minorHAnsi" w:hAnsiTheme="minorHAnsi" w:cstheme="minorHAnsi"/>
          <w:sz w:val="22"/>
          <w:szCs w:val="22"/>
        </w:rPr>
      </w:pPr>
    </w:p>
    <w:sectPr w:rsidR="00CE7652" w:rsidRPr="00666EC2" w:rsidSect="00FF3014">
      <w:headerReference w:type="default" r:id="rId17"/>
      <w:footerReference w:type="even" r:id="rId18"/>
      <w:footerReference w:type="default" r:id="rId19"/>
      <w:headerReference w:type="first" r:id="rId20"/>
      <w:pgSz w:w="24480" w:h="15840" w:orient="landscape" w:code="3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B50F" w14:textId="77777777" w:rsidR="00D10102" w:rsidRDefault="00D10102" w:rsidP="00AB11B6">
      <w:r>
        <w:separator/>
      </w:r>
    </w:p>
  </w:endnote>
  <w:endnote w:type="continuationSeparator" w:id="0">
    <w:p w14:paraId="1920A480" w14:textId="77777777" w:rsidR="00D10102" w:rsidRDefault="00D10102" w:rsidP="00AB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502019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AC65CB" w14:textId="399E5A55" w:rsidR="00CC1CA1" w:rsidRDefault="00CC1CA1" w:rsidP="00CC1CA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578595" w14:textId="77777777" w:rsidR="00CC1CA1" w:rsidRDefault="00CC1CA1" w:rsidP="00CC1CA1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71372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A5A781" w14:textId="2C664D49" w:rsidR="00CC1CA1" w:rsidRDefault="00CC1CA1" w:rsidP="00CC1CA1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A277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D3FD35" w14:textId="77777777" w:rsidR="00CC1CA1" w:rsidRDefault="00CC1CA1" w:rsidP="00CC1CA1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D1CE7" w14:textId="77777777" w:rsidR="00D10102" w:rsidRDefault="00D10102" w:rsidP="00AB11B6">
      <w:r>
        <w:separator/>
      </w:r>
    </w:p>
  </w:footnote>
  <w:footnote w:type="continuationSeparator" w:id="0">
    <w:p w14:paraId="2299F3DD" w14:textId="77777777" w:rsidR="00D10102" w:rsidRDefault="00D10102" w:rsidP="00AB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E3865" w14:textId="77777777" w:rsidR="00AB11B6" w:rsidRDefault="00AB11B6" w:rsidP="00AB11B6"/>
  <w:p w14:paraId="73864F95" w14:textId="77777777" w:rsidR="00AB11B6" w:rsidRDefault="00AB11B6" w:rsidP="00AB11B6">
    <w:r>
      <w:t xml:space="preserve">   </w:t>
    </w:r>
  </w:p>
  <w:p w14:paraId="02A7FF9E" w14:textId="77777777" w:rsidR="00AB11B6" w:rsidRDefault="00AB11B6">
    <w:pPr>
      <w:pStyle w:val="Header"/>
    </w:pPr>
  </w:p>
  <w:p w14:paraId="020606E0" w14:textId="77777777" w:rsidR="00AB11B6" w:rsidRDefault="00AB11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9A5F" w14:textId="77777777" w:rsidR="00B21966" w:rsidRDefault="21A3498B">
    <w:pPr>
      <w:pStyle w:val="Header"/>
    </w:pPr>
    <w:r>
      <w:rPr>
        <w:noProof/>
        <w:lang w:eastAsia="en-GB"/>
      </w:rPr>
      <w:drawing>
        <wp:inline distT="0" distB="0" distL="0" distR="0" wp14:anchorId="0A075916" wp14:editId="00E7916A">
          <wp:extent cx="1249680" cy="928688"/>
          <wp:effectExtent l="0" t="0" r="7620" b="508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928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031FD2D2" wp14:editId="33981992">
          <wp:extent cx="3769112" cy="951479"/>
          <wp:effectExtent l="0" t="0" r="3175" b="127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9112" cy="95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12160" w14:textId="77777777" w:rsidR="00B21966" w:rsidRDefault="00B21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FE4"/>
    <w:multiLevelType w:val="hybridMultilevel"/>
    <w:tmpl w:val="8E0A79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74B0F"/>
    <w:multiLevelType w:val="hybridMultilevel"/>
    <w:tmpl w:val="83247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735B"/>
    <w:multiLevelType w:val="hybridMultilevel"/>
    <w:tmpl w:val="455A0F6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2E926D3"/>
    <w:multiLevelType w:val="multilevel"/>
    <w:tmpl w:val="4C0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591B35"/>
    <w:multiLevelType w:val="multilevel"/>
    <w:tmpl w:val="ED2656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34DEB"/>
    <w:multiLevelType w:val="hybridMultilevel"/>
    <w:tmpl w:val="D274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4127E"/>
    <w:multiLevelType w:val="multilevel"/>
    <w:tmpl w:val="258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6B08AF"/>
    <w:multiLevelType w:val="hybridMultilevel"/>
    <w:tmpl w:val="81343B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5ED314C5"/>
    <w:multiLevelType w:val="multilevel"/>
    <w:tmpl w:val="EFFC2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D35A71"/>
    <w:multiLevelType w:val="multilevel"/>
    <w:tmpl w:val="F54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471360"/>
    <w:multiLevelType w:val="hybridMultilevel"/>
    <w:tmpl w:val="16BE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F3F2F"/>
    <w:multiLevelType w:val="hybridMultilevel"/>
    <w:tmpl w:val="95182EC8"/>
    <w:lvl w:ilvl="0" w:tplc="C4FA5F54">
      <w:start w:val="2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B8"/>
    <w:rsid w:val="00007162"/>
    <w:rsid w:val="00032CC7"/>
    <w:rsid w:val="000429C3"/>
    <w:rsid w:val="00071433"/>
    <w:rsid w:val="00074C38"/>
    <w:rsid w:val="000832D8"/>
    <w:rsid w:val="000B66ED"/>
    <w:rsid w:val="000E5640"/>
    <w:rsid w:val="0011449A"/>
    <w:rsid w:val="0011495F"/>
    <w:rsid w:val="001745BC"/>
    <w:rsid w:val="00175A9B"/>
    <w:rsid w:val="0017621A"/>
    <w:rsid w:val="001968B8"/>
    <w:rsid w:val="001A1CBD"/>
    <w:rsid w:val="001A6504"/>
    <w:rsid w:val="001B43A9"/>
    <w:rsid w:val="001C0F4D"/>
    <w:rsid w:val="001D7D67"/>
    <w:rsid w:val="001E13B2"/>
    <w:rsid w:val="001E5141"/>
    <w:rsid w:val="001F4890"/>
    <w:rsid w:val="00243211"/>
    <w:rsid w:val="00243CE0"/>
    <w:rsid w:val="00245E9A"/>
    <w:rsid w:val="00256F67"/>
    <w:rsid w:val="002863EA"/>
    <w:rsid w:val="00292583"/>
    <w:rsid w:val="002975AF"/>
    <w:rsid w:val="002B4A5A"/>
    <w:rsid w:val="003508BC"/>
    <w:rsid w:val="00394779"/>
    <w:rsid w:val="003A01ED"/>
    <w:rsid w:val="003E0E0D"/>
    <w:rsid w:val="003F3AE8"/>
    <w:rsid w:val="00400C0C"/>
    <w:rsid w:val="00417B89"/>
    <w:rsid w:val="00440673"/>
    <w:rsid w:val="00441615"/>
    <w:rsid w:val="00444BB0"/>
    <w:rsid w:val="00466014"/>
    <w:rsid w:val="00477AAB"/>
    <w:rsid w:val="005159F0"/>
    <w:rsid w:val="00583206"/>
    <w:rsid w:val="005952F0"/>
    <w:rsid w:val="005B3563"/>
    <w:rsid w:val="005E6A62"/>
    <w:rsid w:val="00614DDA"/>
    <w:rsid w:val="00622382"/>
    <w:rsid w:val="00630050"/>
    <w:rsid w:val="006414D0"/>
    <w:rsid w:val="00666EC2"/>
    <w:rsid w:val="006A2773"/>
    <w:rsid w:val="006B13B1"/>
    <w:rsid w:val="006E0CE5"/>
    <w:rsid w:val="006F4C48"/>
    <w:rsid w:val="00707025"/>
    <w:rsid w:val="00723AFE"/>
    <w:rsid w:val="00766EF4"/>
    <w:rsid w:val="007674BA"/>
    <w:rsid w:val="00774145"/>
    <w:rsid w:val="00783CFB"/>
    <w:rsid w:val="00792664"/>
    <w:rsid w:val="007C2BFD"/>
    <w:rsid w:val="007D0D54"/>
    <w:rsid w:val="00803200"/>
    <w:rsid w:val="00812220"/>
    <w:rsid w:val="00812CF7"/>
    <w:rsid w:val="00830082"/>
    <w:rsid w:val="00893C4B"/>
    <w:rsid w:val="008A0E39"/>
    <w:rsid w:val="008D6E47"/>
    <w:rsid w:val="008E0E4E"/>
    <w:rsid w:val="008E3C6C"/>
    <w:rsid w:val="008F42C7"/>
    <w:rsid w:val="00900C5C"/>
    <w:rsid w:val="00913B03"/>
    <w:rsid w:val="009A172E"/>
    <w:rsid w:val="009E7D83"/>
    <w:rsid w:val="00A31238"/>
    <w:rsid w:val="00A50163"/>
    <w:rsid w:val="00A703CC"/>
    <w:rsid w:val="00A97E15"/>
    <w:rsid w:val="00AB11B6"/>
    <w:rsid w:val="00AB39E3"/>
    <w:rsid w:val="00AC1DAE"/>
    <w:rsid w:val="00AD1C96"/>
    <w:rsid w:val="00AD4A91"/>
    <w:rsid w:val="00B10453"/>
    <w:rsid w:val="00B15459"/>
    <w:rsid w:val="00B165DD"/>
    <w:rsid w:val="00B2079F"/>
    <w:rsid w:val="00B2148F"/>
    <w:rsid w:val="00B21966"/>
    <w:rsid w:val="00B46F20"/>
    <w:rsid w:val="00B53DFD"/>
    <w:rsid w:val="00B776CB"/>
    <w:rsid w:val="00B77DA4"/>
    <w:rsid w:val="00B971EC"/>
    <w:rsid w:val="00BC5F03"/>
    <w:rsid w:val="00BD685C"/>
    <w:rsid w:val="00BE097D"/>
    <w:rsid w:val="00BE766D"/>
    <w:rsid w:val="00BF7406"/>
    <w:rsid w:val="00C03879"/>
    <w:rsid w:val="00C03CCD"/>
    <w:rsid w:val="00C33284"/>
    <w:rsid w:val="00C4521D"/>
    <w:rsid w:val="00C71F64"/>
    <w:rsid w:val="00CB75AF"/>
    <w:rsid w:val="00CC1CA1"/>
    <w:rsid w:val="00CD7FDB"/>
    <w:rsid w:val="00CE2F54"/>
    <w:rsid w:val="00CE7652"/>
    <w:rsid w:val="00CF3CBC"/>
    <w:rsid w:val="00D10102"/>
    <w:rsid w:val="00D267AC"/>
    <w:rsid w:val="00D423BD"/>
    <w:rsid w:val="00D77F7A"/>
    <w:rsid w:val="00DB49BB"/>
    <w:rsid w:val="00DC1A5B"/>
    <w:rsid w:val="00DC55D3"/>
    <w:rsid w:val="00DE503C"/>
    <w:rsid w:val="00E2100D"/>
    <w:rsid w:val="00E27630"/>
    <w:rsid w:val="00E4090D"/>
    <w:rsid w:val="00E74906"/>
    <w:rsid w:val="00E757FA"/>
    <w:rsid w:val="00E971EE"/>
    <w:rsid w:val="00EA6FD2"/>
    <w:rsid w:val="00EC2F22"/>
    <w:rsid w:val="00EC3BD4"/>
    <w:rsid w:val="00EF3B17"/>
    <w:rsid w:val="00F00531"/>
    <w:rsid w:val="00F376BE"/>
    <w:rsid w:val="00F4316C"/>
    <w:rsid w:val="00F66F83"/>
    <w:rsid w:val="00FC4518"/>
    <w:rsid w:val="00FF145C"/>
    <w:rsid w:val="00FF3014"/>
    <w:rsid w:val="15E98553"/>
    <w:rsid w:val="21A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8B50"/>
  <w15:docId w15:val="{E6DBE99F-41AE-4A07-B899-CF35159F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1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B11B6"/>
  </w:style>
  <w:style w:type="paragraph" w:styleId="Footer">
    <w:name w:val="footer"/>
    <w:basedOn w:val="Normal"/>
    <w:link w:val="FooterChar"/>
    <w:uiPriority w:val="99"/>
    <w:unhideWhenUsed/>
    <w:rsid w:val="00AB11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B11B6"/>
  </w:style>
  <w:style w:type="paragraph" w:styleId="ListParagraph">
    <w:name w:val="List Paragraph"/>
    <w:basedOn w:val="Normal"/>
    <w:uiPriority w:val="34"/>
    <w:qFormat/>
    <w:rsid w:val="00DB49BB"/>
    <w:pPr>
      <w:ind w:left="720"/>
      <w:contextualSpacing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4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49BB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49B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9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B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5D3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83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F66F8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90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C1CA1"/>
  </w:style>
  <w:style w:type="character" w:customStyle="1" w:styleId="apple-converted-space">
    <w:name w:val="apple-converted-space"/>
    <w:basedOn w:val="DefaultParagraphFont"/>
    <w:rsid w:val="001C0F4D"/>
  </w:style>
  <w:style w:type="character" w:customStyle="1" w:styleId="normaltextrun">
    <w:name w:val="normaltextrun"/>
    <w:basedOn w:val="DefaultParagraphFont"/>
    <w:rsid w:val="00D423BD"/>
  </w:style>
  <w:style w:type="character" w:customStyle="1" w:styleId="eop">
    <w:name w:val="eop"/>
    <w:basedOn w:val="DefaultParagraphFont"/>
    <w:rsid w:val="00D423BD"/>
  </w:style>
  <w:style w:type="paragraph" w:customStyle="1" w:styleId="paragraph">
    <w:name w:val="paragraph"/>
    <w:basedOn w:val="Normal"/>
    <w:rsid w:val="00D423BD"/>
    <w:pPr>
      <w:spacing w:before="100" w:beforeAutospacing="1" w:after="100" w:afterAutospacing="1"/>
    </w:pPr>
    <w:rPr>
      <w:lang w:eastAsia="en-GB"/>
    </w:rPr>
  </w:style>
  <w:style w:type="character" w:customStyle="1" w:styleId="bmdetailsoverlay">
    <w:name w:val="bm_details_overlay"/>
    <w:basedOn w:val="DefaultParagraphFont"/>
    <w:rsid w:val="002B4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9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nec.ksjobs@groundwork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GNEC.KSJobs@groundwork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GNEC.KSJobs@groundwork.org.u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nec.ksjobs@groundwork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Gnec.ksjobs@groundwork.org.uk" TargetMode="External"/><Relationship Id="rId10" Type="http://schemas.openxmlformats.org/officeDocument/2006/relationships/hyperlink" Target="https://www.gov.uk/government/news/40m-second-round-of-the-green-recovery-challenge-fund-opens-for-application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NEC.KSJobs@groundwork.org.u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D182F6CFCA54D8915C6D1AEE1D90C" ma:contentTypeVersion="14" ma:contentTypeDescription="Create a new document." ma:contentTypeScope="" ma:versionID="3cc5e43f817061ab863cdcbc96b2ab52">
  <xsd:schema xmlns:xsd="http://www.w3.org/2001/XMLSchema" xmlns:xs="http://www.w3.org/2001/XMLSchema" xmlns:p="http://schemas.microsoft.com/office/2006/metadata/properties" xmlns:ns3="f98efcbe-d91a-4150-aae6-89ad27e670b9" xmlns:ns4="f2d70ecd-94bd-4a95-aeaf-bc3cc0acee8e" targetNamespace="http://schemas.microsoft.com/office/2006/metadata/properties" ma:root="true" ma:fieldsID="d266f78dd9707570caec05457b35c640" ns3:_="" ns4:_="">
    <xsd:import namespace="f98efcbe-d91a-4150-aae6-89ad27e670b9"/>
    <xsd:import namespace="f2d70ecd-94bd-4a95-aeaf-bc3cc0acee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efcbe-d91a-4150-aae6-89ad27e67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70ecd-94bd-4a95-aeaf-bc3cc0ace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FD30-5BA6-4BC7-A5C9-E037FEB8E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299DD-8AF8-4B06-9608-AFE4B776131F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98efcbe-d91a-4150-aae6-89ad27e670b9"/>
    <ds:schemaRef ds:uri="http://schemas.microsoft.com/office/2006/documentManagement/types"/>
    <ds:schemaRef ds:uri="f2d70ecd-94bd-4a95-aeaf-bc3cc0acee8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D40315-95CC-42C3-B925-63D4AD70B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efcbe-d91a-4150-aae6-89ad27e670b9"/>
    <ds:schemaRef ds:uri="f2d70ecd-94bd-4a95-aeaf-bc3cc0ace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Groundwork North East</Company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Hellen Hornby</cp:lastModifiedBy>
  <cp:revision>8</cp:revision>
  <dcterms:created xsi:type="dcterms:W3CDTF">2021-07-28T09:04:00Z</dcterms:created>
  <dcterms:modified xsi:type="dcterms:W3CDTF">2021-08-03T08:22:00Z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0x0101001E0D182F6CFCA54D8915C6D1AEE1D90C</vt:lpwstr>
  </property>
</Properties>
</file>